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9077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集装箱材质参数明细</w:t>
      </w:r>
    </w:p>
    <w:p w14:paraId="709C022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</w:pPr>
    </w:p>
    <w:p w14:paraId="6243D1B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1.立柱采用不低于100x100x5.0mm热镀锌方管，高频焊接制作完成:四周底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梁槽钢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采用不低于Q235B材质的16号槽钢。所有钢材均为热镀锌材质，热镀锌方管需满足GB/T3091-20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5《低压流体输送用焊接钢管》中抗拉强度≥370Mpa、断后伸长率≥15%、镀锌层重量测定≥300g/m²、镀锌层附着力检验要求，验收时提供标有CMA标识的第三方检测机构出具的检测报告。</w:t>
      </w:r>
    </w:p>
    <w:p w14:paraId="51577B0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2.箱底龙骨槽钢采用不低于Q235B材质的10号槽钢5根、8号槽钢9根、5x5角钢60根，底板采用厚度≥5mm热镀锌踏花板+厚度≥18mm防潮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纤维水泥平板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。所有钢材均为热镀锌材质，槽钢焊接需符合GB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T 26951-20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焊缝无损检测磁粉检测》二级标准，验收时提供标有CMA标识的第三方检测机构出具的检测报告。</w:t>
      </w:r>
    </w:p>
    <w:p w14:paraId="66BB139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3.外墙采用≥0.75mm厚彩钢净化板，内墙采用≥0.5mm厚彩钢净化板，内夹≥5cm厚硫氧镁板，外墙颜色采用砖红色做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波浪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竖条纹内部象牙白色，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底部需封边（封边条材质为砖红色彩钢板）防止割手，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均为PE涂层加烤漆工艺。硫氧镁彩钢净化板需满足GB 8624-2012《建筑材料及制品燃烧性能分级》中A（A2）级、耐火极限达到≥60min的要求，且需通过盐雾试验，需满足GB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T 13448-2019第18节、第21节、第26节循环1，验收时提供标有CMA标识的第三方检测机构出具的检测报告。</w:t>
      </w:r>
    </w:p>
    <w:p w14:paraId="7C6991F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4. 箱体屋顶及顶部框架采用≥0.5mm砖红色硫氧镁彩钢净化板（内夹≥5cm厚硫氧镁板）、≥1mm彩钢板(人字坡顶)，坡屋顶立面采用50x70mm热镀锌方管，厚度≥1.5mm，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屋顶内部三角梁支架双面封板，采用热镀锌板，厚度≥1.0mm，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坡面底部做天沟排水，材质为304不锈钢厚度≥1.2mm。</w:t>
      </w:r>
    </w:p>
    <w:p w14:paraId="5D5D0C1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5.钢门1600宽x2200高x50mm厚一个（为子母门，子门1200宽x2200高x50mm厚），外框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热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镀锌方管，门板外部采用≥0.75mm+内部≥0.5mm彩钢净化板（内夹≥5cm厚硫氧镁板），门外框材质为P型热镀锌管规格60x30mm，厚度≥1.2mm，上方带金属挡雨板，加装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防盗机械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门锁。</w:t>
      </w:r>
    </w:p>
    <w:p w14:paraId="4139640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6.厢房高2.8米，坡顶高0.4米，总高3.2米。防水密封性能：不能出现渗（漏）雨水，满足《屋面工程技术规范》（GB 50345-2012）。</w:t>
      </w:r>
    </w:p>
    <w:p w14:paraId="60CA4B1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地面基础加固</w:t>
      </w:r>
    </w:p>
    <w:p w14:paraId="118C71B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7.1在原有基础上扩宽、加固、修复，使地面基础部分与此次购买集装箱尺寸相匹配，使用材料为：第一层200MM碎石垫层，第二层倒混凝土C20（100MM厚）。</w:t>
      </w:r>
    </w:p>
    <w:p w14:paraId="2592199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7.2所有地面基础部分涂刷聚合物复合改性沥青防水涂料2MM厚。</w:t>
      </w:r>
    </w:p>
    <w:p w14:paraId="6F26C69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Hans"/>
          <w14:textFill>
            <w14:solidFill>
              <w14:schemeClr w14:val="tx1"/>
            </w14:solidFill>
          </w14:textFill>
        </w:rPr>
        <w:t>7.3地面基础及周边进行白蚁防治处理。</w:t>
      </w:r>
    </w:p>
    <w:p w14:paraId="3515BAA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7.4集装箱门口三个踏步采用砖头和砂浆水泥制作。</w:t>
      </w:r>
    </w:p>
    <w:p w14:paraId="3F2895D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7.5集装箱门口按照实际地面尺寸制作钢木斜坡桥架（每一排配2架）。</w:t>
      </w:r>
    </w:p>
    <w:p w14:paraId="5A326BB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7.6施工过程需用2米高的围挡牌围起来。</w:t>
      </w:r>
    </w:p>
    <w:p w14:paraId="15F76A2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8.需对原有集装箱免费进行清旧及运输处理。</w:t>
      </w:r>
    </w:p>
    <w:p w14:paraId="1811A408">
      <w:pPr>
        <w:rPr>
          <w:b/>
          <w:bCs w:val="0"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ZjMzMTBmMTBiMWU0NDNmYjI5MjE1MzUxNTE5YTMifQ=="/>
  </w:docVars>
  <w:rsids>
    <w:rsidRoot w:val="394F3109"/>
    <w:rsid w:val="16FC1C2C"/>
    <w:rsid w:val="394F3109"/>
    <w:rsid w:val="4D732781"/>
    <w:rsid w:val="57CC4990"/>
    <w:rsid w:val="75DFAC15"/>
    <w:rsid w:val="FFB78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3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28"/>
      <w:szCs w:val="20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等线" w:hAnsi="等线" w:eastAsia="等线" w:cs="宋体"/>
      <w:color w:val="000000"/>
      <w:kern w:val="2"/>
      <w:sz w:val="21"/>
      <w:szCs w:val="22"/>
      <w:lang w:val="en-US" w:eastAsia="zh-CN" w:bidi="ar-SA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bCs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953</Words>
  <Characters>1187</Characters>
  <Lines>0</Lines>
  <Paragraphs>0</Paragraphs>
  <TotalTime>40</TotalTime>
  <ScaleCrop>false</ScaleCrop>
  <LinksUpToDate>false</LinksUpToDate>
  <CharactersWithSpaces>1192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2025-06-27T04:02:00Z</dcterms:created>
  <dc:creator>奥创</dc:creator>
  <cp:lastModifiedBy>焦</cp:lastModifiedBy>
  <cp:lastPrinted>2026-03-19T15:56:00Z</cp:lastPrinted>
  <dcterms:modified xsi:type="dcterms:W3CDTF">2026-04-01T08:42:38Z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97E84BC3C93C48C4B8B4423948F9A4C7_13</vt:lpwstr>
  </property>
  <property fmtid="{D5CDD505-2E9C-101B-9397-08002B2CF9AE}" pid="4" name="KSOTemplateDocerSaveRecord">
    <vt:lpwstr>eyJoZGlkIjoiN2RlM2QzZGFiNTI0OWVjNTEzOWQ5MDNmZjAzZDBkMTAiLCJ1c2VySWQiOiI3NTkyODgxNjMifQ==</vt:lpwstr>
  </property>
</Properties>
</file>