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D4246">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jc w:val="left"/>
        <w:textAlignment w:val="auto"/>
        <w:rPr>
          <w:rFonts w:hint="eastAsia"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附件1：</w:t>
      </w:r>
    </w:p>
    <w:tbl>
      <w:tblPr>
        <w:tblStyle w:val="4"/>
        <w:tblW w:w="1247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96"/>
        <w:gridCol w:w="8559"/>
        <w:gridCol w:w="1366"/>
        <w:gridCol w:w="1458"/>
      </w:tblGrid>
      <w:tr w14:paraId="4278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1096" w:type="dxa"/>
            <w:shd w:val="clear" w:color="auto" w:fill="auto"/>
            <w:vAlign w:val="center"/>
          </w:tcPr>
          <w:p w14:paraId="2DDD8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物资（服务）名称</w:t>
            </w:r>
          </w:p>
        </w:tc>
        <w:tc>
          <w:tcPr>
            <w:tcW w:w="8559" w:type="dxa"/>
            <w:shd w:val="clear" w:color="auto" w:fill="auto"/>
            <w:vAlign w:val="center"/>
          </w:tcPr>
          <w:p w14:paraId="2B732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规格型号及技术标准</w:t>
            </w:r>
          </w:p>
        </w:tc>
        <w:tc>
          <w:tcPr>
            <w:tcW w:w="1366" w:type="dxa"/>
            <w:shd w:val="clear" w:color="auto" w:fill="auto"/>
            <w:vAlign w:val="center"/>
          </w:tcPr>
          <w:p w14:paraId="40D09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458" w:type="dxa"/>
            <w:shd w:val="clear" w:color="auto" w:fill="auto"/>
            <w:vAlign w:val="center"/>
          </w:tcPr>
          <w:p w14:paraId="5D873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r>
      <w:tr w14:paraId="38F1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1" w:hRule="atLeast"/>
        </w:trPr>
        <w:tc>
          <w:tcPr>
            <w:tcW w:w="1096" w:type="dxa"/>
            <w:shd w:val="clear" w:color="auto" w:fill="auto"/>
            <w:vAlign w:val="center"/>
          </w:tcPr>
          <w:p w14:paraId="3B224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智能防爆门锁</w:t>
            </w:r>
          </w:p>
        </w:tc>
        <w:tc>
          <w:tcPr>
            <w:tcW w:w="8559" w:type="dxa"/>
            <w:shd w:val="clear" w:color="auto" w:fill="auto"/>
            <w:vAlign w:val="center"/>
          </w:tcPr>
          <w:p w14:paraId="294E2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1、开门方式：钥匙和电控开门，支持≥每12间使用一把物理钥匙进行开门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2、状态显示：支持开关门状态检测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3、工作电压：DC12-18V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4、启动电流：950mA（瞬间）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5、工作电流：100mA（上锁）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6、工作寿命：开关锁次数≥30万次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7、防护等级：≥IP65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8、门锁需要具备防爆等级要求</w:t>
            </w:r>
          </w:p>
        </w:tc>
        <w:tc>
          <w:tcPr>
            <w:tcW w:w="1366" w:type="dxa"/>
            <w:shd w:val="clear" w:color="auto" w:fill="auto"/>
            <w:vAlign w:val="center"/>
          </w:tcPr>
          <w:p w14:paraId="3495FF2B">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72</w:t>
            </w:r>
          </w:p>
        </w:tc>
        <w:tc>
          <w:tcPr>
            <w:tcW w:w="1458" w:type="dxa"/>
            <w:shd w:val="clear" w:color="auto" w:fill="auto"/>
            <w:vAlign w:val="center"/>
          </w:tcPr>
          <w:p w14:paraId="3E530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3972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8" w:hRule="atLeast"/>
        </w:trPr>
        <w:tc>
          <w:tcPr>
            <w:tcW w:w="1096" w:type="dxa"/>
            <w:shd w:val="clear" w:color="auto" w:fill="auto"/>
            <w:vAlign w:val="center"/>
          </w:tcPr>
          <w:p w14:paraId="5625C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双路冗余控制电源</w:t>
            </w:r>
          </w:p>
        </w:tc>
        <w:tc>
          <w:tcPr>
            <w:tcW w:w="8559" w:type="dxa"/>
            <w:shd w:val="clear" w:color="auto" w:fill="auto"/>
            <w:vAlign w:val="center"/>
          </w:tcPr>
          <w:p w14:paraId="203023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1、交流输入：AC220V 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2、输出电压：≥16路DC12V输出，电压调节范围11V-14V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3、输出电流：≥30A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4、支持主、备电源自动切换功能，当主电源模块发生故障时，自动切换到备用电源模块，切换时间≤0.1秒；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5、设备每路输出通道都有PPTC限流保护措施及独立的LED指示灯，当某一路前端设备或供电线路出现过流故障时均能自动及时切断本路输出通道且不影响其它输出通道的正常供电，并在故障消除后会自动恢复供电；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6、提供配套智能末端电压调测平台，支持通过输入的设备功率、设备工作电压信息自动计算用电设备获取的电压；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7、工作温度：-20℃至+60℃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8、工作湿度：≤90%</w:t>
            </w:r>
          </w:p>
        </w:tc>
        <w:tc>
          <w:tcPr>
            <w:tcW w:w="1366" w:type="dxa"/>
            <w:shd w:val="clear" w:color="auto" w:fill="auto"/>
            <w:vAlign w:val="center"/>
          </w:tcPr>
          <w:p w14:paraId="61A1F34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458" w:type="dxa"/>
            <w:shd w:val="clear" w:color="auto" w:fill="auto"/>
            <w:vAlign w:val="center"/>
          </w:tcPr>
          <w:p w14:paraId="6EA8B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42EC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1096" w:type="dxa"/>
            <w:shd w:val="clear" w:color="auto" w:fill="auto"/>
            <w:vAlign w:val="center"/>
          </w:tcPr>
          <w:p w14:paraId="7CA5C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现场控制器</w:t>
            </w:r>
          </w:p>
        </w:tc>
        <w:tc>
          <w:tcPr>
            <w:tcW w:w="8559" w:type="dxa"/>
            <w:shd w:val="clear" w:color="auto" w:fill="auto"/>
            <w:vAlign w:val="center"/>
          </w:tcPr>
          <w:p w14:paraId="6E306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1、现场控制器，配合监狱控制器，现场查看和控制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2、支持一键开启所有关联门锁或单个门锁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3、开关门状态支持实时灯光显示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4、支持物理自定义一键开门数量，自定义数量≥12门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5、一键开门支持持续开门，支持进行复位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6、通讯方式：TCP/IP 10/100M自适应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7、支持在软件中查看门锁的实时状态，支持使用后台软件进行一键开关门</w:t>
            </w:r>
          </w:p>
        </w:tc>
        <w:tc>
          <w:tcPr>
            <w:tcW w:w="1366" w:type="dxa"/>
            <w:shd w:val="clear" w:color="auto" w:fill="auto"/>
            <w:vAlign w:val="center"/>
          </w:tcPr>
          <w:p w14:paraId="727F4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58" w:type="dxa"/>
            <w:shd w:val="clear" w:color="auto" w:fill="auto"/>
            <w:vAlign w:val="center"/>
          </w:tcPr>
          <w:p w14:paraId="285DB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010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096" w:type="dxa"/>
            <w:shd w:val="clear" w:color="auto" w:fill="auto"/>
            <w:vAlign w:val="center"/>
          </w:tcPr>
          <w:p w14:paraId="2D79D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定制操作台</w:t>
            </w:r>
          </w:p>
        </w:tc>
        <w:tc>
          <w:tcPr>
            <w:tcW w:w="8559" w:type="dxa"/>
            <w:shd w:val="clear" w:color="auto" w:fill="auto"/>
            <w:vAlign w:val="center"/>
          </w:tcPr>
          <w:p w14:paraId="03FD4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定制两联操作台，将监控、门禁控制器模块、对讲模块、一键开门模块等集成至操作台进行统一管理。配套两个8位PDU排插，尺寸：长1880*深900*高750mm</w:t>
            </w:r>
          </w:p>
        </w:tc>
        <w:tc>
          <w:tcPr>
            <w:tcW w:w="1366" w:type="dxa"/>
            <w:shd w:val="clear" w:color="auto" w:fill="auto"/>
            <w:vAlign w:val="center"/>
          </w:tcPr>
          <w:p w14:paraId="7FD26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58" w:type="dxa"/>
            <w:shd w:val="clear" w:color="auto" w:fill="auto"/>
            <w:vAlign w:val="center"/>
          </w:tcPr>
          <w:p w14:paraId="424DD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14:paraId="0B05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96" w:type="dxa"/>
            <w:shd w:val="clear" w:color="auto" w:fill="auto"/>
            <w:vAlign w:val="center"/>
          </w:tcPr>
          <w:p w14:paraId="64C2EB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RVV3*2.5电源线</w:t>
            </w:r>
          </w:p>
        </w:tc>
        <w:tc>
          <w:tcPr>
            <w:tcW w:w="8559" w:type="dxa"/>
            <w:shd w:val="clear" w:color="auto" w:fill="auto"/>
            <w:noWrap/>
            <w:vAlign w:val="center"/>
          </w:tcPr>
          <w:p w14:paraId="36374A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国标RVV3*2.5</w:t>
            </w:r>
          </w:p>
        </w:tc>
        <w:tc>
          <w:tcPr>
            <w:tcW w:w="1366" w:type="dxa"/>
            <w:shd w:val="clear" w:color="auto" w:fill="auto"/>
            <w:vAlign w:val="center"/>
          </w:tcPr>
          <w:p w14:paraId="29D76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58" w:type="dxa"/>
            <w:shd w:val="clear" w:color="auto" w:fill="auto"/>
            <w:vAlign w:val="center"/>
          </w:tcPr>
          <w:p w14:paraId="07C17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14:paraId="227C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096" w:type="dxa"/>
            <w:shd w:val="clear" w:color="auto" w:fill="auto"/>
            <w:vAlign w:val="center"/>
          </w:tcPr>
          <w:p w14:paraId="4F423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RVV2*1.5电源线</w:t>
            </w:r>
          </w:p>
        </w:tc>
        <w:tc>
          <w:tcPr>
            <w:tcW w:w="8559" w:type="dxa"/>
            <w:shd w:val="clear" w:color="auto" w:fill="auto"/>
            <w:noWrap/>
            <w:vAlign w:val="center"/>
          </w:tcPr>
          <w:p w14:paraId="7F729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国标RVV2*1.5</w:t>
            </w:r>
          </w:p>
        </w:tc>
        <w:tc>
          <w:tcPr>
            <w:tcW w:w="1366" w:type="dxa"/>
            <w:shd w:val="clear" w:color="auto" w:fill="auto"/>
            <w:vAlign w:val="center"/>
          </w:tcPr>
          <w:p w14:paraId="45ABF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1458" w:type="dxa"/>
            <w:shd w:val="clear" w:color="auto" w:fill="auto"/>
            <w:vAlign w:val="center"/>
          </w:tcPr>
          <w:p w14:paraId="33CAE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14:paraId="232C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096" w:type="dxa"/>
            <w:shd w:val="clear" w:color="auto" w:fill="auto"/>
            <w:vAlign w:val="center"/>
          </w:tcPr>
          <w:p w14:paraId="12E7B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RVV4*1.0信号线</w:t>
            </w:r>
          </w:p>
        </w:tc>
        <w:tc>
          <w:tcPr>
            <w:tcW w:w="8559" w:type="dxa"/>
            <w:shd w:val="clear" w:color="auto" w:fill="auto"/>
            <w:noWrap/>
            <w:vAlign w:val="center"/>
          </w:tcPr>
          <w:p w14:paraId="07336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国标RVV4*1.0</w:t>
            </w:r>
          </w:p>
        </w:tc>
        <w:tc>
          <w:tcPr>
            <w:tcW w:w="1366" w:type="dxa"/>
            <w:shd w:val="clear" w:color="auto" w:fill="auto"/>
            <w:vAlign w:val="center"/>
          </w:tcPr>
          <w:p w14:paraId="771CF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458" w:type="dxa"/>
            <w:shd w:val="clear" w:color="auto" w:fill="auto"/>
            <w:vAlign w:val="center"/>
          </w:tcPr>
          <w:p w14:paraId="16A55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14:paraId="75CF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trPr>
        <w:tc>
          <w:tcPr>
            <w:tcW w:w="1096" w:type="dxa"/>
            <w:shd w:val="clear" w:color="auto" w:fill="auto"/>
            <w:vAlign w:val="center"/>
          </w:tcPr>
          <w:p w14:paraId="493E8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消防门报警系统</w:t>
            </w:r>
          </w:p>
        </w:tc>
        <w:tc>
          <w:tcPr>
            <w:tcW w:w="8559" w:type="dxa"/>
            <w:shd w:val="clear" w:color="auto" w:fill="auto"/>
            <w:vAlign w:val="center"/>
          </w:tcPr>
          <w:p w14:paraId="3223C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1、每个门配置单门控制器1套、报警信号模块1套、单门磁力锁1台、门禁无线遥控1个、单门消防逃生锁1套、不锈钢顺位1个等相关配件；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2、支持指示灯提示、支持过流保护、支持1组TCP/IP 通信口；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3、支持接受报警信号，并触发声光报警器或是警号；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4、支持一键联动开启本楼层及一楼操场门禁。</w:t>
            </w:r>
          </w:p>
        </w:tc>
        <w:tc>
          <w:tcPr>
            <w:tcW w:w="1366" w:type="dxa"/>
            <w:shd w:val="clear" w:color="auto" w:fill="auto"/>
            <w:vAlign w:val="center"/>
          </w:tcPr>
          <w:p w14:paraId="72CE9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58" w:type="dxa"/>
            <w:shd w:val="clear" w:color="auto" w:fill="auto"/>
            <w:vAlign w:val="center"/>
          </w:tcPr>
          <w:p w14:paraId="74F18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门</w:t>
            </w:r>
          </w:p>
        </w:tc>
      </w:tr>
      <w:tr w14:paraId="00A2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1096" w:type="dxa"/>
            <w:shd w:val="clear" w:color="auto" w:fill="auto"/>
            <w:vAlign w:val="center"/>
          </w:tcPr>
          <w:p w14:paraId="74D1E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安装实施服务</w:t>
            </w:r>
          </w:p>
        </w:tc>
        <w:tc>
          <w:tcPr>
            <w:tcW w:w="8559" w:type="dxa"/>
            <w:shd w:val="clear" w:color="auto" w:fill="auto"/>
            <w:vAlign w:val="center"/>
          </w:tcPr>
          <w:p w14:paraId="2A8C7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1、含金属软管、线槽、绝缘胶、过线盒水晶头等其他辅材；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2、维保期：3年</w:t>
            </w:r>
          </w:p>
        </w:tc>
        <w:tc>
          <w:tcPr>
            <w:tcW w:w="1366" w:type="dxa"/>
            <w:shd w:val="clear" w:color="auto" w:fill="auto"/>
            <w:vAlign w:val="center"/>
          </w:tcPr>
          <w:p w14:paraId="6F050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8" w:type="dxa"/>
            <w:shd w:val="clear" w:color="auto" w:fill="auto"/>
            <w:vAlign w:val="center"/>
          </w:tcPr>
          <w:p w14:paraId="08C5B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bl>
    <w:p w14:paraId="3B0066E5">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jc w:val="left"/>
        <w:textAlignment w:val="auto"/>
        <w:rPr>
          <w:rFonts w:hint="default" w:ascii="仿宋" w:hAnsi="仿宋" w:eastAsia="仿宋" w:cs="Times New Roman"/>
          <w:color w:val="auto"/>
          <w:kern w:val="2"/>
          <w:sz w:val="28"/>
          <w:szCs w:val="28"/>
          <w:lang w:val="en-US" w:eastAsia="zh-CN" w:bidi="ar-SA"/>
        </w:rPr>
        <w:sectPr>
          <w:pgSz w:w="16838" w:h="11906" w:orient="landscape"/>
          <w:pgMar w:top="1800" w:right="1440" w:bottom="1800" w:left="1440" w:header="851" w:footer="992" w:gutter="0"/>
          <w:cols w:space="720" w:num="1"/>
          <w:docGrid w:type="lines" w:linePitch="312" w:charSpace="0"/>
        </w:sectPr>
      </w:pPr>
    </w:p>
    <w:p w14:paraId="43226DD2">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jc w:val="left"/>
        <w:textAlignment w:val="auto"/>
        <w:rPr>
          <w:rFonts w:hint="default" w:ascii="仿宋" w:hAnsi="仿宋" w:eastAsia="仿宋" w:cs="Times New Roman"/>
          <w:color w:val="auto"/>
          <w:kern w:val="2"/>
          <w:sz w:val="28"/>
          <w:szCs w:val="28"/>
          <w:lang w:val="en-US" w:eastAsia="zh-CN" w:bidi="ar-SA"/>
        </w:rPr>
      </w:pPr>
      <w:r>
        <w:rPr>
          <w:rFonts w:hint="eastAsia" w:ascii="仿宋" w:hAnsi="仿宋" w:eastAsia="仿宋" w:cs="Times New Roman"/>
          <w:color w:val="auto"/>
          <w:kern w:val="2"/>
          <w:sz w:val="28"/>
          <w:szCs w:val="28"/>
          <w:lang w:val="en-US" w:eastAsia="zh-CN" w:bidi="ar-SA"/>
        </w:rPr>
        <w:t>附件2：</w:t>
      </w:r>
    </w:p>
    <w:tbl>
      <w:tblPr>
        <w:tblStyle w:val="4"/>
        <w:tblW w:w="14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6"/>
        <w:gridCol w:w="8430"/>
        <w:gridCol w:w="914"/>
        <w:gridCol w:w="1726"/>
        <w:gridCol w:w="2094"/>
      </w:tblGrid>
      <w:tr w14:paraId="02385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250" w:type="dxa"/>
            <w:gridSpan w:val="5"/>
            <w:tcBorders>
              <w:top w:val="nil"/>
              <w:left w:val="nil"/>
              <w:bottom w:val="nil"/>
              <w:right w:val="nil"/>
            </w:tcBorders>
            <w:shd w:val="clear" w:color="auto" w:fill="auto"/>
            <w:noWrap/>
            <w:vAlign w:val="center"/>
          </w:tcPr>
          <w:p w14:paraId="12EC7D4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金刚网纱窗参数技术要求和预算</w:t>
            </w:r>
          </w:p>
        </w:tc>
      </w:tr>
      <w:tr w14:paraId="3AD7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94" w:type="dxa"/>
          <w:trHeight w:val="860" w:hRule="atLeast"/>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3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物资（服务）名称</w:t>
            </w:r>
          </w:p>
        </w:tc>
        <w:tc>
          <w:tcPr>
            <w:tcW w:w="8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5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规格型号及技术标准</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4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0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预估数量</w:t>
            </w:r>
          </w:p>
        </w:tc>
      </w:tr>
      <w:tr w14:paraId="1C129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94" w:type="dxa"/>
          <w:trHeight w:val="2430" w:hRule="atLeast"/>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33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金刚网纱窗</w:t>
            </w:r>
          </w:p>
        </w:tc>
        <w:tc>
          <w:tcPr>
            <w:tcW w:w="8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CE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1、材质要求：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铝型材，厚度≥1.2mm，金刚纱网为304不锈钢编织或冲压成型，不锈钢丝直径≥0.8mm，静电喷塑后网面厚度≥1.2mm，金刚纱网密度为≥12目。边框厚度18</w:t>
            </w:r>
            <w:r>
              <w:rPr>
                <w:rFonts w:hint="eastAsia" w:ascii="宋体" w:hAnsi="宋体" w:cs="宋体"/>
                <w:i w:val="0"/>
                <w:iCs w:val="0"/>
                <w:color w:val="000000"/>
                <w:kern w:val="0"/>
                <w:sz w:val="22"/>
                <w:szCs w:val="22"/>
                <w:u w:val="none"/>
                <w:lang w:val="en-US" w:eastAsia="zh-CN" w:bidi="ar"/>
              </w:rPr>
              <w:t>mm</w:t>
            </w:r>
            <w:r>
              <w:rPr>
                <w:rFonts w:hint="eastAsia" w:ascii="宋体" w:hAnsi="宋体" w:eastAsia="宋体" w:cs="宋体"/>
                <w:i w:val="0"/>
                <w:iCs w:val="0"/>
                <w:color w:val="000000"/>
                <w:kern w:val="0"/>
                <w:sz w:val="22"/>
                <w:szCs w:val="22"/>
                <w:u w:val="none"/>
                <w:lang w:val="en-US" w:eastAsia="zh-CN" w:bidi="ar"/>
              </w:rPr>
              <w:t>±1mm，宽度50mm±2mm。型材款式按采购人实际窗户、窗型需求定做。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2、安装要求：纱窗放置在门上安装。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3、维保期：2年</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90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平方米</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90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95</w:t>
            </w:r>
          </w:p>
        </w:tc>
      </w:tr>
      <w:tr w14:paraId="7A789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94" w:type="dxa"/>
          <w:trHeight w:val="2430" w:hRule="atLeast"/>
        </w:trPr>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72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带框金刚网纱窗</w:t>
            </w:r>
          </w:p>
        </w:tc>
        <w:tc>
          <w:tcPr>
            <w:tcW w:w="8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99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1、材质要求：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铝型材，厚度≥1.2mm，金刚纱网为304不锈钢编织或冲压成型，不锈钢丝直径≥0.8mm，静电喷塑后网面厚度≥1.2mm，金刚纱网密度为≥12目。边框厚度18±1mm，宽度50mm±2mm。型材款式按采购人实际窗户、窗型需求定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1.2挡风毛条：纱窗背后高度边框采用高密度毛条，毛条材质为聚丙烯。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2、安装要求：72扇监舍窗户、66扇走廊窗户需配套制作铝</w:t>
            </w:r>
            <w:bookmarkStart w:id="0" w:name="_GoBack"/>
            <w:bookmarkEnd w:id="0"/>
            <w:r>
              <w:rPr>
                <w:rFonts w:hint="eastAsia" w:ascii="宋体" w:hAnsi="宋体" w:eastAsia="宋体" w:cs="宋体"/>
                <w:i w:val="0"/>
                <w:iCs w:val="0"/>
                <w:color w:val="000000"/>
                <w:kern w:val="0"/>
                <w:sz w:val="22"/>
                <w:szCs w:val="22"/>
                <w:u w:val="none"/>
                <w:lang w:val="en-US" w:eastAsia="zh-CN" w:bidi="ar"/>
              </w:rPr>
              <w:t>合金窗框，做成可移动纱窗，带安全锁。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3、维保期：2年</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E3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平方米</w:t>
            </w:r>
          </w:p>
        </w:tc>
        <w:tc>
          <w:tcPr>
            <w:tcW w:w="1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74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810</w:t>
            </w:r>
          </w:p>
        </w:tc>
      </w:tr>
      <w:tr w14:paraId="5B9E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094" w:type="dxa"/>
          <w:trHeight w:val="660" w:hRule="atLeast"/>
        </w:trPr>
        <w:tc>
          <w:tcPr>
            <w:tcW w:w="1215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7E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4"/>
                <w:szCs w:val="24"/>
                <w:u w:val="none"/>
                <w:lang w:val="en-US" w:eastAsia="zh-CN" w:bidi="ar"/>
              </w:rPr>
              <w:t>需求数量为预估数量，最终结算按实际安装制作后测量取得的实际数量结算。</w:t>
            </w:r>
          </w:p>
        </w:tc>
      </w:tr>
    </w:tbl>
    <w:p w14:paraId="5482E4C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A69A5"/>
    <w:rsid w:val="45DA69A5"/>
    <w:rsid w:val="6E3C4D68"/>
    <w:rsid w:val="71AB3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rFonts w:ascii="Calibri" w:hAnsi="Calibri" w:cs="Calibri"/>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ascii="Calibri" w:hAnsi="Calibri" w:cs="Calibri"/>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p0"/>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1254</Words>
  <Characters>1444</Characters>
  <Lines>0</Lines>
  <Paragraphs>0</Paragraphs>
  <TotalTime>37</TotalTime>
  <ScaleCrop>false</ScaleCrop>
  <LinksUpToDate>false</LinksUpToDate>
  <CharactersWithSpaces>1447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2026-08-10T07:24:00Z</dcterms:created>
  <dc:creator>rainbow candy</dc:creator>
  <cp:lastModifiedBy>方兴</cp:lastModifiedBy>
  <dcterms:modified xsi:type="dcterms:W3CDTF">2026-08-11T01:15:52Z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1979224D44544BA690FABF7CC5CDFD36_13</vt:lpwstr>
  </property>
  <property fmtid="{D5CDD505-2E9C-101B-9397-08002B2CF9AE}" pid="4" name="KSOTemplateDocerSaveRecord">
    <vt:lpwstr>eyJoZGlkIjoiN2RlM2QzZGFiNTI0OWVjNTEzOWQ5MDNmZjAzZDBkMTAiLCJ1c2VySWQiOiI3NTkyODgxNjMifQ==</vt:lpwstr>
  </property>
</Properties>
</file>